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E9B38" w14:textId="39CD5DF8" w:rsidR="00F663CE" w:rsidRPr="00F0585D" w:rsidRDefault="007D3163" w:rsidP="009C2CA0">
      <w:pPr>
        <w:jc w:val="center"/>
        <w:rPr>
          <w:rFonts w:ascii="Times New Roman" w:hAnsi="Times New Roman" w:cs="Times New Roman"/>
          <w:b/>
          <w:sz w:val="32"/>
        </w:rPr>
      </w:pPr>
      <w:r w:rsidRPr="00F0585D">
        <w:rPr>
          <w:rFonts w:ascii="Times New Roman" w:hAnsi="Times New Roman" w:cs="Times New Roman"/>
          <w:b/>
          <w:sz w:val="32"/>
        </w:rPr>
        <w:t xml:space="preserve"> </w:t>
      </w:r>
    </w:p>
    <w:p w14:paraId="07D55883" w14:textId="77777777" w:rsidR="00475F9D" w:rsidRPr="00F0585D" w:rsidRDefault="00475F9D" w:rsidP="009C2CA0">
      <w:pPr>
        <w:jc w:val="center"/>
        <w:rPr>
          <w:rFonts w:ascii="Times New Roman" w:hAnsi="Times New Roman" w:cs="Times New Roman"/>
          <w:b/>
          <w:sz w:val="32"/>
        </w:rPr>
      </w:pPr>
    </w:p>
    <w:p w14:paraId="1EB150AA" w14:textId="77777777" w:rsidR="00475F9D" w:rsidRPr="00F0585D" w:rsidRDefault="00475F9D" w:rsidP="00475F9D">
      <w:pPr>
        <w:pStyle w:val="Textbody"/>
        <w:tabs>
          <w:tab w:val="right" w:leader="dot" w:pos="9629"/>
        </w:tabs>
        <w:spacing w:line="360" w:lineRule="auto"/>
        <w:ind w:left="426"/>
        <w:jc w:val="center"/>
        <w:rPr>
          <w:rFonts w:eastAsia="MS Mincho" w:cs="Times New Roman"/>
          <w:b/>
          <w:bCs/>
          <w:sz w:val="52"/>
          <w:lang w:eastAsia="ar-SA"/>
        </w:rPr>
      </w:pPr>
      <w:r w:rsidRPr="00F0585D">
        <w:rPr>
          <w:rFonts w:eastAsia="MS Mincho" w:cs="Times New Roman"/>
          <w:b/>
          <w:bCs/>
          <w:sz w:val="52"/>
          <w:lang w:eastAsia="ar-SA"/>
        </w:rPr>
        <w:t xml:space="preserve">MATRIZ DE RISCOS </w:t>
      </w:r>
    </w:p>
    <w:p w14:paraId="137050A5" w14:textId="77777777" w:rsidR="00475F9D" w:rsidRPr="00F0585D" w:rsidRDefault="00475F9D" w:rsidP="00475F9D">
      <w:pPr>
        <w:pStyle w:val="Textbody"/>
        <w:tabs>
          <w:tab w:val="left" w:pos="4830"/>
        </w:tabs>
        <w:spacing w:before="240" w:line="360" w:lineRule="auto"/>
        <w:rPr>
          <w:rFonts w:cs="Times New Roman"/>
          <w:b/>
          <w:sz w:val="28"/>
        </w:rPr>
      </w:pPr>
      <w:r w:rsidRPr="00F0585D">
        <w:rPr>
          <w:rFonts w:cs="Times New Roman"/>
          <w:b/>
          <w:sz w:val="28"/>
        </w:rPr>
        <w:tab/>
      </w:r>
    </w:p>
    <w:p w14:paraId="56D276F9" w14:textId="77777777" w:rsidR="00475F9D" w:rsidRPr="00F0585D" w:rsidRDefault="00475F9D" w:rsidP="00475F9D">
      <w:pPr>
        <w:pStyle w:val="Textbody"/>
        <w:tabs>
          <w:tab w:val="left" w:pos="4830"/>
        </w:tabs>
        <w:spacing w:before="240" w:line="360" w:lineRule="auto"/>
        <w:rPr>
          <w:rFonts w:cs="Times New Roman"/>
          <w:b/>
          <w:sz w:val="28"/>
        </w:rPr>
      </w:pPr>
    </w:p>
    <w:p w14:paraId="632B0EAA" w14:textId="77777777" w:rsidR="00475F9D" w:rsidRPr="00F0585D" w:rsidRDefault="00475F9D" w:rsidP="00475F9D">
      <w:pPr>
        <w:pStyle w:val="Textbody"/>
        <w:tabs>
          <w:tab w:val="left" w:pos="4830"/>
        </w:tabs>
        <w:spacing w:before="240" w:line="360" w:lineRule="auto"/>
        <w:rPr>
          <w:rFonts w:cs="Times New Roman"/>
          <w:b/>
          <w:sz w:val="28"/>
        </w:rPr>
      </w:pPr>
    </w:p>
    <w:p w14:paraId="05DE724B" w14:textId="77777777" w:rsidR="00475F9D" w:rsidRPr="00F0585D" w:rsidRDefault="00475F9D" w:rsidP="00475F9D">
      <w:pPr>
        <w:pStyle w:val="Textbody"/>
        <w:tabs>
          <w:tab w:val="left" w:pos="4830"/>
        </w:tabs>
        <w:spacing w:before="240" w:line="360" w:lineRule="auto"/>
        <w:rPr>
          <w:rFonts w:cs="Times New Roman"/>
          <w:b/>
          <w:sz w:val="28"/>
        </w:rPr>
      </w:pPr>
    </w:p>
    <w:p w14:paraId="41D35541" w14:textId="77777777" w:rsidR="00475F9D" w:rsidRPr="00F0585D" w:rsidRDefault="00475F9D" w:rsidP="00475F9D">
      <w:pPr>
        <w:pStyle w:val="Textbody"/>
        <w:tabs>
          <w:tab w:val="left" w:pos="4830"/>
        </w:tabs>
        <w:spacing w:before="240" w:line="360" w:lineRule="auto"/>
        <w:rPr>
          <w:rFonts w:cs="Times New Roman"/>
          <w:b/>
          <w:sz w:val="28"/>
        </w:rPr>
      </w:pPr>
    </w:p>
    <w:p w14:paraId="26AE266A" w14:textId="77777777" w:rsidR="009872F1" w:rsidRDefault="009872F1" w:rsidP="009872F1">
      <w:pPr>
        <w:pStyle w:val="Textbody"/>
        <w:spacing w:before="240" w:after="0" w:line="360" w:lineRule="auto"/>
        <w:jc w:val="center"/>
        <w:rPr>
          <w:rFonts w:cs="Times New Roman"/>
          <w:b/>
          <w:sz w:val="32"/>
        </w:rPr>
      </w:pPr>
      <w:r w:rsidRPr="0095484C">
        <w:rPr>
          <w:rFonts w:cs="Times New Roman"/>
          <w:b/>
          <w:sz w:val="32"/>
        </w:rPr>
        <w:t>Contratação de Empresa Esp</w:t>
      </w:r>
      <w:r>
        <w:rPr>
          <w:rFonts w:cs="Times New Roman"/>
          <w:b/>
          <w:sz w:val="32"/>
        </w:rPr>
        <w:t>ecializada em Obra de Contenção e Drenagem</w:t>
      </w:r>
    </w:p>
    <w:p w14:paraId="0204705A" w14:textId="77777777" w:rsidR="009872F1" w:rsidRPr="00567D7E" w:rsidRDefault="009872F1" w:rsidP="009872F1">
      <w:pPr>
        <w:pStyle w:val="Textbody"/>
        <w:spacing w:before="240" w:line="360" w:lineRule="auto"/>
        <w:jc w:val="center"/>
        <w:rPr>
          <w:rFonts w:cs="Times New Roman"/>
          <w:b/>
          <w:sz w:val="32"/>
        </w:rPr>
      </w:pPr>
      <w:r>
        <w:rPr>
          <w:rFonts w:cs="Times New Roman"/>
          <w:b/>
          <w:sz w:val="32"/>
        </w:rPr>
        <w:t>Rua Copacabana – Morro da Cabocla</w:t>
      </w:r>
      <w:r w:rsidRPr="00567D7E">
        <w:rPr>
          <w:rFonts w:cs="Times New Roman"/>
          <w:b/>
          <w:sz w:val="32"/>
        </w:rPr>
        <w:t xml:space="preserve"> – Arraial do Cabo – RJ.</w:t>
      </w:r>
    </w:p>
    <w:p w14:paraId="6EB6FAA9" w14:textId="77777777" w:rsidR="00F0585D" w:rsidRDefault="00F0585D" w:rsidP="005B7BA8">
      <w:pPr>
        <w:pStyle w:val="Textbody"/>
        <w:spacing w:before="240" w:line="360" w:lineRule="auto"/>
        <w:jc w:val="center"/>
        <w:rPr>
          <w:rFonts w:cs="Times New Roman"/>
          <w:b/>
          <w:sz w:val="18"/>
          <w:szCs w:val="18"/>
        </w:rPr>
      </w:pPr>
    </w:p>
    <w:p w14:paraId="2CEA956E" w14:textId="194B0978" w:rsidR="00CB0C08" w:rsidRPr="00F0585D" w:rsidRDefault="00CB0C08" w:rsidP="005B7BA8">
      <w:pPr>
        <w:pStyle w:val="Textbody"/>
        <w:spacing w:before="240" w:line="360" w:lineRule="auto"/>
        <w:jc w:val="center"/>
        <w:rPr>
          <w:rFonts w:cs="Times New Roman"/>
          <w:b/>
          <w:sz w:val="18"/>
          <w:szCs w:val="18"/>
        </w:rPr>
      </w:pPr>
      <w:r w:rsidRPr="00F0585D">
        <w:rPr>
          <w:rFonts w:cs="Times New Roman"/>
          <w:b/>
          <w:sz w:val="18"/>
          <w:szCs w:val="18"/>
        </w:rPr>
        <w:lastRenderedPageBreak/>
        <w:t xml:space="preserve">MATRIZ </w:t>
      </w:r>
      <w:r w:rsidR="009C2CA0" w:rsidRPr="00F0585D">
        <w:rPr>
          <w:rFonts w:cs="Times New Roman"/>
          <w:b/>
          <w:sz w:val="18"/>
          <w:szCs w:val="18"/>
        </w:rPr>
        <w:t>DE RISCOS</w:t>
      </w:r>
    </w:p>
    <w:p w14:paraId="5F282788" w14:textId="756CB965" w:rsidR="00A67266" w:rsidRPr="00F0585D" w:rsidRDefault="00F0585D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sz w:val="18"/>
          <w:szCs w:val="18"/>
        </w:rPr>
      </w:pPr>
      <w:r>
        <w:rPr>
          <w:rFonts w:ascii="Times New Roman" w:eastAsia="Montserrat" w:hAnsi="Times New Roman" w:cs="Times New Roman"/>
          <w:sz w:val="18"/>
          <w:szCs w:val="18"/>
        </w:rPr>
        <w:tab/>
      </w:r>
      <w:r w:rsidR="00A67266" w:rsidRPr="00F0585D">
        <w:rPr>
          <w:rFonts w:ascii="Times New Roman" w:eastAsia="Montserrat" w:hAnsi="Times New Roman" w:cs="Times New Roman"/>
          <w:sz w:val="18"/>
          <w:szCs w:val="18"/>
        </w:rPr>
        <w:t>Este documento trata-se de cláusula contratual que tem como intuito identificar os riscos contratuais previstos e presumíveis e distribuí-los entre contratante e contratado, mediante indicação daqueles a serem assumidos pelo setor público ou pelo setor privado ou daqueles a serem compartilhados.</w:t>
      </w:r>
    </w:p>
    <w:p w14:paraId="22817874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sz w:val="18"/>
          <w:szCs w:val="18"/>
        </w:rPr>
      </w:pPr>
      <w:r w:rsidRPr="00F0585D">
        <w:rPr>
          <w:rFonts w:ascii="Times New Roman" w:eastAsia="Montserrat" w:hAnsi="Times New Roman" w:cs="Times New Roman"/>
          <w:sz w:val="18"/>
          <w:szCs w:val="18"/>
        </w:rPr>
        <w:tab/>
        <w:t>Este documento está fundamentado na Lei Federal 14.133/2021, especialmente nas seguintes orientações:</w:t>
      </w:r>
    </w:p>
    <w:p w14:paraId="5BF6D122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i/>
          <w:iCs/>
          <w:sz w:val="18"/>
          <w:szCs w:val="18"/>
        </w:rPr>
      </w:pPr>
      <w:r w:rsidRPr="00F0585D">
        <w:rPr>
          <w:rFonts w:ascii="Times New Roman" w:eastAsia="Montserrat" w:hAnsi="Times New Roman" w:cs="Times New Roman"/>
          <w:i/>
          <w:iCs/>
          <w:sz w:val="18"/>
          <w:szCs w:val="18"/>
        </w:rPr>
        <w:t>Art. 6º, XXVII - matriz de riscos: cláusula contratual definidora de riscos e de responsabilidades entre as partes e caracterizadora do equilíbrio econômico-financeiro inicial do contrato, em termos de ônus financeiro decorrente de eventos supervenientes à contratação [...].</w:t>
      </w:r>
    </w:p>
    <w:p w14:paraId="26C1DAC6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i/>
          <w:iCs/>
          <w:sz w:val="18"/>
          <w:szCs w:val="18"/>
        </w:rPr>
      </w:pPr>
      <w:r w:rsidRPr="00F0585D">
        <w:rPr>
          <w:rFonts w:ascii="Times New Roman" w:eastAsia="Montserrat" w:hAnsi="Times New Roman" w:cs="Times New Roman"/>
          <w:i/>
          <w:iCs/>
          <w:sz w:val="18"/>
          <w:szCs w:val="18"/>
        </w:rPr>
        <w:t>Art. 22, § 1º A matriz de que trata o caput deste artigo deverá promover a alocação eficiente dos riscos de cada contrato e estabelecer a responsabilidade que caiba a cada parte contratante, bem como os mecanismos que afastem a ocorrência do sinistro e mitiguem os seus efeitos, caso este ocorra durante a execução contratual.</w:t>
      </w:r>
    </w:p>
    <w:p w14:paraId="75F2941A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0585D">
        <w:rPr>
          <w:rFonts w:ascii="Times New Roman" w:eastAsia="Montserrat" w:hAnsi="Times New Roman" w:cs="Times New Roman"/>
          <w:i/>
          <w:iCs/>
          <w:sz w:val="18"/>
          <w:szCs w:val="18"/>
        </w:rPr>
        <w:t>Art. 103, § 4º A matriz de alocação de riscos definirá o equilíbrio econômico-financeiro inicial do contrato em relação a eventos supervenientes e deverá ser observada na solução de eventuais pleitos das partes.</w:t>
      </w:r>
    </w:p>
    <w:p w14:paraId="76288FCB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b/>
          <w:bCs/>
          <w:sz w:val="18"/>
          <w:szCs w:val="18"/>
        </w:rPr>
      </w:pPr>
      <w:r w:rsidRPr="00F0585D">
        <w:rPr>
          <w:rFonts w:ascii="Times New Roman" w:eastAsia="Montserrat" w:hAnsi="Times New Roman" w:cs="Times New Roman"/>
          <w:sz w:val="18"/>
          <w:szCs w:val="18"/>
        </w:rPr>
        <w:tab/>
        <w:t>Ressalta-se que a Matriz de Riscos definirá o equilíbrio econômico-financeiro inicial do contrato em relação a eventos supervenientes e deverá ser observada na solução de eventuais pleitos das partes.</w:t>
      </w:r>
    </w:p>
    <w:p w14:paraId="0D2163BF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sz w:val="18"/>
          <w:szCs w:val="18"/>
        </w:rPr>
      </w:pPr>
      <w:r w:rsidRPr="00F0585D">
        <w:rPr>
          <w:rFonts w:ascii="Times New Roman" w:eastAsia="Montserrat" w:hAnsi="Times New Roman" w:cs="Times New Roman"/>
          <w:b/>
          <w:bCs/>
          <w:sz w:val="18"/>
          <w:szCs w:val="18"/>
        </w:rPr>
        <w:t xml:space="preserve">Risco: </w:t>
      </w:r>
      <w:r w:rsidRPr="00F0585D">
        <w:rPr>
          <w:rFonts w:ascii="Times New Roman" w:eastAsia="Montserrat" w:hAnsi="Times New Roman" w:cs="Times New Roman"/>
          <w:sz w:val="18"/>
          <w:szCs w:val="18"/>
        </w:rPr>
        <w:t>evento superveniente que pode gerar danos ao contrato.</w:t>
      </w:r>
    </w:p>
    <w:p w14:paraId="54FC59BF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sz w:val="18"/>
          <w:szCs w:val="18"/>
        </w:rPr>
      </w:pPr>
      <w:r w:rsidRPr="00F0585D">
        <w:rPr>
          <w:rFonts w:ascii="Times New Roman" w:eastAsia="Montserrat" w:hAnsi="Times New Roman" w:cs="Times New Roman"/>
          <w:b/>
          <w:bCs/>
          <w:sz w:val="18"/>
          <w:szCs w:val="18"/>
        </w:rPr>
        <w:t xml:space="preserve">Probabilidade: </w:t>
      </w:r>
      <w:r w:rsidRPr="00F0585D">
        <w:rPr>
          <w:rFonts w:ascii="Times New Roman" w:eastAsia="Montserrat" w:hAnsi="Times New Roman" w:cs="Times New Roman"/>
          <w:sz w:val="18"/>
          <w:szCs w:val="18"/>
        </w:rPr>
        <w:t>chance de o evento acontecer.</w:t>
      </w:r>
    </w:p>
    <w:p w14:paraId="700BD98A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sz w:val="18"/>
          <w:szCs w:val="18"/>
        </w:rPr>
      </w:pPr>
      <w:r w:rsidRPr="00F0585D">
        <w:rPr>
          <w:rFonts w:ascii="Times New Roman" w:eastAsia="Montserrat" w:hAnsi="Times New Roman" w:cs="Times New Roman"/>
          <w:b/>
          <w:bCs/>
          <w:sz w:val="18"/>
          <w:szCs w:val="18"/>
        </w:rPr>
        <w:t xml:space="preserve">Impacto: </w:t>
      </w:r>
      <w:r w:rsidRPr="00F0585D">
        <w:rPr>
          <w:rFonts w:ascii="Times New Roman" w:eastAsia="Montserrat" w:hAnsi="Times New Roman" w:cs="Times New Roman"/>
          <w:sz w:val="18"/>
          <w:szCs w:val="18"/>
        </w:rPr>
        <w:t>resultado do evento que afeta os objetivos.</w:t>
      </w:r>
    </w:p>
    <w:p w14:paraId="0B7ACDB1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sz w:val="18"/>
          <w:szCs w:val="18"/>
        </w:rPr>
      </w:pPr>
      <w:r w:rsidRPr="00F0585D">
        <w:rPr>
          <w:rFonts w:ascii="Times New Roman" w:eastAsia="Montserrat" w:hAnsi="Times New Roman" w:cs="Times New Roman"/>
          <w:b/>
          <w:bCs/>
          <w:sz w:val="18"/>
          <w:szCs w:val="18"/>
        </w:rPr>
        <w:t xml:space="preserve">Nível de risco: </w:t>
      </w:r>
      <w:r w:rsidRPr="00F0585D">
        <w:rPr>
          <w:rFonts w:ascii="Times New Roman" w:eastAsia="Montserrat" w:hAnsi="Times New Roman" w:cs="Times New Roman"/>
          <w:sz w:val="18"/>
          <w:szCs w:val="18"/>
        </w:rPr>
        <w:t>magnitude do risco elencado, expressa em termos da combinação das probabilidades e dos impactos.</w:t>
      </w:r>
    </w:p>
    <w:p w14:paraId="22DB3695" w14:textId="2335B648" w:rsidR="005770DF" w:rsidRPr="00A67266" w:rsidRDefault="005770DF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</w:rPr>
      </w:pPr>
      <w:r w:rsidRPr="005770DF">
        <w:rPr>
          <w:rFonts w:ascii="Times New Roman" w:hAnsi="Times New Roman" w:cs="Times New Roman"/>
          <w:noProof/>
          <w:sz w:val="24"/>
          <w:lang w:eastAsia="pt-BR"/>
        </w:rPr>
        <w:drawing>
          <wp:anchor distT="0" distB="0" distL="114300" distR="114300" simplePos="0" relativeHeight="251660288" behindDoc="0" locked="0" layoutInCell="1" allowOverlap="1" wp14:anchorId="6B96CC53" wp14:editId="0FC24944">
            <wp:simplePos x="0" y="0"/>
            <wp:positionH relativeFrom="column">
              <wp:posOffset>1013460</wp:posOffset>
            </wp:positionH>
            <wp:positionV relativeFrom="paragraph">
              <wp:posOffset>226060</wp:posOffset>
            </wp:positionV>
            <wp:extent cx="8002117" cy="1171739"/>
            <wp:effectExtent l="0" t="0" r="0" b="9525"/>
            <wp:wrapNone/>
            <wp:docPr id="20642199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21996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117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3E2D2B" w14:textId="77777777" w:rsidR="004743E9" w:rsidRDefault="004743E9" w:rsidP="00643B88">
      <w:pPr>
        <w:spacing w:line="360" w:lineRule="auto"/>
        <w:ind w:left="709" w:firstLine="567"/>
        <w:jc w:val="both"/>
        <w:rPr>
          <w:rFonts w:ascii="Times New Roman" w:hAnsi="Times New Roman" w:cs="Times New Roman"/>
          <w:sz w:val="24"/>
        </w:rPr>
      </w:pPr>
    </w:p>
    <w:p w14:paraId="6467B0DB" w14:textId="77777777" w:rsidR="0081391C" w:rsidRDefault="0081391C" w:rsidP="00643B88">
      <w:pPr>
        <w:spacing w:line="360" w:lineRule="auto"/>
        <w:ind w:left="709" w:firstLine="567"/>
        <w:jc w:val="both"/>
        <w:rPr>
          <w:rFonts w:ascii="Times New Roman" w:hAnsi="Times New Roman" w:cs="Times New Roman"/>
          <w:sz w:val="24"/>
        </w:rPr>
      </w:pPr>
    </w:p>
    <w:p w14:paraId="01EA0239" w14:textId="77777777" w:rsidR="00530FB3" w:rsidRDefault="00530FB3" w:rsidP="0081391C">
      <w:pPr>
        <w:tabs>
          <w:tab w:val="left" w:pos="7140"/>
        </w:tabs>
        <w:jc w:val="center"/>
        <w:rPr>
          <w:rFonts w:ascii="Times New Roman" w:hAnsi="Times New Roman" w:cs="Times New Roman"/>
          <w:b/>
          <w:bCs/>
          <w:sz w:val="24"/>
        </w:rPr>
      </w:pPr>
    </w:p>
    <w:p w14:paraId="03434242" w14:textId="4A8548C8" w:rsidR="002702E4" w:rsidRPr="00A67266" w:rsidRDefault="0081391C" w:rsidP="0081391C">
      <w:pPr>
        <w:tabs>
          <w:tab w:val="left" w:pos="7140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67266">
        <w:rPr>
          <w:rFonts w:ascii="Times New Roman" w:hAnsi="Times New Roman" w:cs="Times New Roman"/>
          <w:b/>
          <w:bCs/>
          <w:sz w:val="20"/>
          <w:szCs w:val="20"/>
        </w:rPr>
        <w:lastRenderedPageBreak/>
        <w:t>MATRIZ DE RISCO</w:t>
      </w:r>
      <w:r w:rsidR="00B2223C">
        <w:rPr>
          <w:rFonts w:ascii="Times New Roman" w:hAnsi="Times New Roman" w:cs="Times New Roman"/>
          <w:b/>
          <w:bCs/>
          <w:sz w:val="20"/>
          <w:szCs w:val="20"/>
        </w:rPr>
        <w:t>S</w:t>
      </w:r>
    </w:p>
    <w:tbl>
      <w:tblPr>
        <w:tblStyle w:val="SimplesTabela1"/>
        <w:tblW w:w="0" w:type="auto"/>
        <w:tblLook w:val="04A0" w:firstRow="1" w:lastRow="0" w:firstColumn="1" w:lastColumn="0" w:noHBand="0" w:noVBand="1"/>
      </w:tblPr>
      <w:tblGrid>
        <w:gridCol w:w="561"/>
        <w:gridCol w:w="1633"/>
        <w:gridCol w:w="1428"/>
        <w:gridCol w:w="1316"/>
        <w:gridCol w:w="824"/>
        <w:gridCol w:w="1947"/>
        <w:gridCol w:w="1452"/>
        <w:gridCol w:w="1991"/>
        <w:gridCol w:w="2075"/>
        <w:gridCol w:w="2161"/>
      </w:tblGrid>
      <w:tr w:rsidR="00A67266" w:rsidRPr="00A67266" w14:paraId="3A3179DA" w14:textId="77777777" w:rsidTr="00487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6518B6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Nº</w:t>
            </w:r>
          </w:p>
        </w:tc>
        <w:tc>
          <w:tcPr>
            <w:tcW w:w="0" w:type="auto"/>
            <w:vAlign w:val="center"/>
            <w:hideMark/>
          </w:tcPr>
          <w:p w14:paraId="415D0B4A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Risco Identificado</w:t>
            </w:r>
          </w:p>
        </w:tc>
        <w:tc>
          <w:tcPr>
            <w:tcW w:w="0" w:type="auto"/>
            <w:vAlign w:val="center"/>
            <w:hideMark/>
          </w:tcPr>
          <w:p w14:paraId="2986FAD0" w14:textId="17B0F4AB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Probabilidade</w:t>
            </w:r>
          </w:p>
        </w:tc>
        <w:tc>
          <w:tcPr>
            <w:tcW w:w="0" w:type="auto"/>
            <w:vAlign w:val="center"/>
          </w:tcPr>
          <w:p w14:paraId="3A50CABD" w14:textId="3B8DF32A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Impacto</w:t>
            </w:r>
          </w:p>
        </w:tc>
        <w:tc>
          <w:tcPr>
            <w:tcW w:w="0" w:type="auto"/>
            <w:vAlign w:val="center"/>
            <w:hideMark/>
          </w:tcPr>
          <w:p w14:paraId="487E91F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Nível de Risco</w:t>
            </w:r>
          </w:p>
        </w:tc>
        <w:tc>
          <w:tcPr>
            <w:tcW w:w="0" w:type="auto"/>
            <w:vAlign w:val="center"/>
            <w:hideMark/>
          </w:tcPr>
          <w:p w14:paraId="3AB1D039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vAlign w:val="center"/>
            <w:hideMark/>
          </w:tcPr>
          <w:p w14:paraId="528DF658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Parte Responsável</w:t>
            </w:r>
          </w:p>
        </w:tc>
        <w:tc>
          <w:tcPr>
            <w:tcW w:w="0" w:type="auto"/>
            <w:vAlign w:val="center"/>
            <w:hideMark/>
          </w:tcPr>
          <w:p w14:paraId="2B306D6E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Mitigação Proposta</w:t>
            </w:r>
          </w:p>
        </w:tc>
        <w:tc>
          <w:tcPr>
            <w:tcW w:w="0" w:type="auto"/>
            <w:vAlign w:val="center"/>
            <w:hideMark/>
          </w:tcPr>
          <w:p w14:paraId="7BE2D82B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Danos Potenciais</w:t>
            </w:r>
          </w:p>
        </w:tc>
        <w:tc>
          <w:tcPr>
            <w:tcW w:w="0" w:type="auto"/>
            <w:vAlign w:val="center"/>
            <w:hideMark/>
          </w:tcPr>
          <w:p w14:paraId="488BE73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Plano de Resposta (Caso o risco ocorra)</w:t>
            </w:r>
          </w:p>
        </w:tc>
      </w:tr>
      <w:tr w:rsidR="00A67266" w:rsidRPr="00A67266" w14:paraId="2034D7F9" w14:textId="77777777" w:rsidTr="002702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0A257B9" w14:textId="169A6ADF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F0C39A9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Acesso limitado</w:t>
            </w:r>
          </w:p>
        </w:tc>
        <w:tc>
          <w:tcPr>
            <w:tcW w:w="0" w:type="auto"/>
            <w:vAlign w:val="center"/>
            <w:hideMark/>
          </w:tcPr>
          <w:p w14:paraId="130CF6FE" w14:textId="618843F9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736C25A5" w14:textId="475152E1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16ED0DB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1F334F1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Dificuldade de acesso ao local da obra compromete logística e transporte.</w:t>
            </w:r>
          </w:p>
        </w:tc>
        <w:tc>
          <w:tcPr>
            <w:tcW w:w="0" w:type="auto"/>
            <w:vAlign w:val="center"/>
            <w:hideMark/>
          </w:tcPr>
          <w:p w14:paraId="0E6DEEA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Compartilhada</w:t>
            </w:r>
          </w:p>
        </w:tc>
        <w:tc>
          <w:tcPr>
            <w:tcW w:w="0" w:type="auto"/>
            <w:vAlign w:val="center"/>
            <w:hideMark/>
          </w:tcPr>
          <w:p w14:paraId="2A68AF6B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Planejamento logístico e diálogo com moradores e órgãos.</w:t>
            </w:r>
          </w:p>
        </w:tc>
        <w:tc>
          <w:tcPr>
            <w:tcW w:w="0" w:type="auto"/>
            <w:vAlign w:val="center"/>
            <w:hideMark/>
          </w:tcPr>
          <w:p w14:paraId="0D1E6B4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Atrasos na execução, aumento de custos logísticos, paralisação.</w:t>
            </w:r>
          </w:p>
        </w:tc>
        <w:tc>
          <w:tcPr>
            <w:tcW w:w="0" w:type="auto"/>
            <w:vAlign w:val="center"/>
            <w:hideMark/>
          </w:tcPr>
          <w:p w14:paraId="63070AC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Ajuste de cronograma, realocação de recursos, uso de transporte alternativo.</w:t>
            </w:r>
          </w:p>
        </w:tc>
      </w:tr>
      <w:tr w:rsidR="00A67266" w:rsidRPr="00A67266" w14:paraId="79AC10C5" w14:textId="77777777" w:rsidTr="002702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DE8DE19" w14:textId="27B43A04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99D45A9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Aumento de custo por alteração de prazo</w:t>
            </w:r>
          </w:p>
        </w:tc>
        <w:tc>
          <w:tcPr>
            <w:tcW w:w="0" w:type="auto"/>
            <w:vAlign w:val="center"/>
            <w:hideMark/>
          </w:tcPr>
          <w:p w14:paraId="218669C5" w14:textId="19882C35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3C946A55" w14:textId="400675B9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24C00876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7611589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Dilatação de prazo causa aumento de custos indiretos.</w:t>
            </w:r>
          </w:p>
        </w:tc>
        <w:tc>
          <w:tcPr>
            <w:tcW w:w="0" w:type="auto"/>
            <w:vAlign w:val="center"/>
            <w:hideMark/>
          </w:tcPr>
          <w:p w14:paraId="12800B1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Conforme a causa</w:t>
            </w:r>
          </w:p>
        </w:tc>
        <w:tc>
          <w:tcPr>
            <w:tcW w:w="0" w:type="auto"/>
            <w:vAlign w:val="center"/>
            <w:hideMark/>
          </w:tcPr>
          <w:p w14:paraId="55357B31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Cláusula de reequilíbrio e registro técnico.</w:t>
            </w:r>
          </w:p>
        </w:tc>
        <w:tc>
          <w:tcPr>
            <w:tcW w:w="0" w:type="auto"/>
            <w:vAlign w:val="center"/>
            <w:hideMark/>
          </w:tcPr>
          <w:p w14:paraId="7FC3F5D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Reequilíbrio financeiro, aditivos de custo e prazo.</w:t>
            </w:r>
          </w:p>
        </w:tc>
        <w:tc>
          <w:tcPr>
            <w:tcW w:w="0" w:type="auto"/>
            <w:vAlign w:val="center"/>
            <w:hideMark/>
          </w:tcPr>
          <w:p w14:paraId="1BBB40A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Análise de reequilíbrio econômico-financeiro e emissão de termo aditivo.</w:t>
            </w:r>
          </w:p>
        </w:tc>
      </w:tr>
      <w:tr w:rsidR="00A67266" w:rsidRPr="00A67266" w14:paraId="473EE1CF" w14:textId="77777777" w:rsidTr="002702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90C480E" w14:textId="6DD3B1C3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7352FE8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Criminalidade e violência urbana</w:t>
            </w:r>
          </w:p>
        </w:tc>
        <w:tc>
          <w:tcPr>
            <w:tcW w:w="0" w:type="auto"/>
            <w:vAlign w:val="center"/>
            <w:hideMark/>
          </w:tcPr>
          <w:p w14:paraId="5E7BA38F" w14:textId="27E131BE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483E7B57" w14:textId="51EBAF39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FFC000"/>
            <w:vAlign w:val="center"/>
            <w:hideMark/>
          </w:tcPr>
          <w:p w14:paraId="200EA30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6C903481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Furtos, ameaças e insegurança no entorno da obra.</w:t>
            </w:r>
          </w:p>
        </w:tc>
        <w:tc>
          <w:tcPr>
            <w:tcW w:w="0" w:type="auto"/>
            <w:vAlign w:val="center"/>
            <w:hideMark/>
          </w:tcPr>
          <w:p w14:paraId="733B1C3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Compartilhada</w:t>
            </w:r>
          </w:p>
        </w:tc>
        <w:tc>
          <w:tcPr>
            <w:tcW w:w="0" w:type="auto"/>
            <w:vAlign w:val="center"/>
            <w:hideMark/>
          </w:tcPr>
          <w:p w14:paraId="3DB664CA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Cercamento, controle de acesso, comunicação com autoridades.</w:t>
            </w:r>
          </w:p>
        </w:tc>
        <w:tc>
          <w:tcPr>
            <w:tcW w:w="0" w:type="auto"/>
            <w:vAlign w:val="center"/>
            <w:hideMark/>
          </w:tcPr>
          <w:p w14:paraId="1945682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Prejuízos materiais, paralisações, riscos à integridade da equipe.</w:t>
            </w:r>
          </w:p>
        </w:tc>
        <w:tc>
          <w:tcPr>
            <w:tcW w:w="0" w:type="auto"/>
            <w:vAlign w:val="center"/>
            <w:hideMark/>
          </w:tcPr>
          <w:p w14:paraId="16B8B686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Aumento de segurança, reforço de vigilância, acionamento de autoridades locais.</w:t>
            </w:r>
          </w:p>
        </w:tc>
      </w:tr>
      <w:tr w:rsidR="00A67266" w:rsidRPr="00A67266" w14:paraId="75E1A2BA" w14:textId="77777777" w:rsidTr="00487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269A5B4" w14:textId="4C51C6D4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A06CC9F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Baixa qualificação técnica</w:t>
            </w:r>
          </w:p>
        </w:tc>
        <w:tc>
          <w:tcPr>
            <w:tcW w:w="0" w:type="auto"/>
            <w:vAlign w:val="center"/>
            <w:hideMark/>
          </w:tcPr>
          <w:p w14:paraId="31E4CE9F" w14:textId="7FA49889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31D781F4" w14:textId="01AE0B28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33A13F77" w14:textId="4D4ECF84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4C0C7931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Mão de obra inadequada compromete execução e qualidade.</w:t>
            </w:r>
          </w:p>
        </w:tc>
        <w:tc>
          <w:tcPr>
            <w:tcW w:w="0" w:type="auto"/>
            <w:vAlign w:val="center"/>
            <w:hideMark/>
          </w:tcPr>
          <w:p w14:paraId="15923926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Contratada</w:t>
            </w:r>
          </w:p>
        </w:tc>
        <w:tc>
          <w:tcPr>
            <w:tcW w:w="0" w:type="auto"/>
            <w:vAlign w:val="center"/>
            <w:hideMark/>
          </w:tcPr>
          <w:p w14:paraId="25A7334F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Exigência de qualificação e fiscalização in loco.</w:t>
            </w:r>
          </w:p>
        </w:tc>
        <w:tc>
          <w:tcPr>
            <w:tcW w:w="0" w:type="auto"/>
            <w:vAlign w:val="center"/>
            <w:hideMark/>
          </w:tcPr>
          <w:p w14:paraId="1A6822A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Não conformidade, retrabalho, atrasos e custo extra.</w:t>
            </w:r>
          </w:p>
        </w:tc>
        <w:tc>
          <w:tcPr>
            <w:tcW w:w="0" w:type="auto"/>
            <w:vAlign w:val="center"/>
            <w:hideMark/>
          </w:tcPr>
          <w:p w14:paraId="28057EE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Substituição de profissionais, reforço de fiscalização e capacitação emergencial.</w:t>
            </w:r>
          </w:p>
        </w:tc>
      </w:tr>
      <w:tr w:rsidR="00A67266" w:rsidRPr="00A67266" w14:paraId="0FDEFD55" w14:textId="77777777" w:rsidTr="000B4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C2CB8B9" w14:textId="5CADF9DF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AB7747E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 xml:space="preserve">Atraso, inexecução ou </w:t>
            </w:r>
            <w:r w:rsidRPr="00A67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abandono da obra</w:t>
            </w:r>
          </w:p>
        </w:tc>
        <w:tc>
          <w:tcPr>
            <w:tcW w:w="0" w:type="auto"/>
            <w:vAlign w:val="center"/>
            <w:hideMark/>
          </w:tcPr>
          <w:p w14:paraId="3AFCACD0" w14:textId="796CB54F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Médi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0A7E7365" w14:textId="3C03ABA9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301D9646" w14:textId="1F04506B" w:rsidR="00487A09" w:rsidRPr="00A67266" w:rsidRDefault="000B475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7A1AD830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Paralisação por má gestão compromete cronograma.</w:t>
            </w:r>
          </w:p>
        </w:tc>
        <w:tc>
          <w:tcPr>
            <w:tcW w:w="0" w:type="auto"/>
            <w:vAlign w:val="center"/>
            <w:hideMark/>
          </w:tcPr>
          <w:p w14:paraId="72E4A4B1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Contratada</w:t>
            </w:r>
          </w:p>
        </w:tc>
        <w:tc>
          <w:tcPr>
            <w:tcW w:w="0" w:type="auto"/>
            <w:vAlign w:val="center"/>
            <w:hideMark/>
          </w:tcPr>
          <w:p w14:paraId="488F12D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Garantias contratuais e penalidades.</w:t>
            </w:r>
          </w:p>
        </w:tc>
        <w:tc>
          <w:tcPr>
            <w:tcW w:w="0" w:type="auto"/>
            <w:vAlign w:val="center"/>
            <w:hideMark/>
          </w:tcPr>
          <w:p w14:paraId="33D365CD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 xml:space="preserve">Inadimplemento contratual, atraso na </w:t>
            </w:r>
            <w:r w:rsidRPr="00A67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entrega, prejuízo à comunidade.</w:t>
            </w:r>
          </w:p>
        </w:tc>
        <w:tc>
          <w:tcPr>
            <w:tcW w:w="0" w:type="auto"/>
            <w:vAlign w:val="center"/>
            <w:hideMark/>
          </w:tcPr>
          <w:p w14:paraId="4FF5482E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Aplicação de penalidades, execução </w:t>
            </w:r>
            <w:r w:rsidRPr="00A67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de garantias e possível rescisão contratual.</w:t>
            </w:r>
          </w:p>
        </w:tc>
      </w:tr>
      <w:tr w:rsidR="00A67266" w:rsidRPr="00A67266" w14:paraId="7995EFC5" w14:textId="77777777" w:rsidTr="002702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78A95994" w14:textId="55763262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3DE6958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Deslizamento durante a obra</w:t>
            </w:r>
          </w:p>
        </w:tc>
        <w:tc>
          <w:tcPr>
            <w:tcW w:w="0" w:type="auto"/>
            <w:vAlign w:val="center"/>
            <w:hideMark/>
          </w:tcPr>
          <w:p w14:paraId="567C2212" w14:textId="6A0DDB9D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7333E2DB" w14:textId="0A9FBC86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FFC000"/>
            <w:vAlign w:val="center"/>
            <w:hideMark/>
          </w:tcPr>
          <w:p w14:paraId="2892CEFD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231B9B40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Instabilidade do talude durante a execução.</w:t>
            </w:r>
          </w:p>
        </w:tc>
        <w:tc>
          <w:tcPr>
            <w:tcW w:w="0" w:type="auto"/>
            <w:vAlign w:val="center"/>
            <w:hideMark/>
          </w:tcPr>
          <w:p w14:paraId="751FA9D5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Compartilhada</w:t>
            </w:r>
          </w:p>
        </w:tc>
        <w:tc>
          <w:tcPr>
            <w:tcW w:w="0" w:type="auto"/>
            <w:vAlign w:val="center"/>
            <w:hideMark/>
          </w:tcPr>
          <w:p w14:paraId="5AC34A70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Plano de gerenciamento e contenção emergencial.</w:t>
            </w:r>
          </w:p>
        </w:tc>
        <w:tc>
          <w:tcPr>
            <w:tcW w:w="0" w:type="auto"/>
            <w:vAlign w:val="center"/>
            <w:hideMark/>
          </w:tcPr>
          <w:p w14:paraId="110B807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Danos estruturais, acidentes, atrasos.</w:t>
            </w:r>
          </w:p>
        </w:tc>
        <w:tc>
          <w:tcPr>
            <w:tcW w:w="0" w:type="auto"/>
            <w:vAlign w:val="center"/>
            <w:hideMark/>
          </w:tcPr>
          <w:p w14:paraId="014CC7B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Intervenções emergenciais de contenção, revisão de soluções geotécnicas.</w:t>
            </w:r>
          </w:p>
        </w:tc>
      </w:tr>
      <w:tr w:rsidR="00A67266" w:rsidRPr="00A67266" w14:paraId="73715D46" w14:textId="77777777" w:rsidTr="002702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81C5F4B" w14:textId="3792EC0C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43806F8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Acidente de trabalho</w:t>
            </w:r>
          </w:p>
        </w:tc>
        <w:tc>
          <w:tcPr>
            <w:tcW w:w="0" w:type="auto"/>
            <w:vAlign w:val="center"/>
            <w:hideMark/>
          </w:tcPr>
          <w:p w14:paraId="3143591F" w14:textId="4409C0F8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7FBED43F" w14:textId="5BA5E26D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56E17AD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23331B1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Lesões ou óbitos durante a obra.</w:t>
            </w:r>
          </w:p>
        </w:tc>
        <w:tc>
          <w:tcPr>
            <w:tcW w:w="0" w:type="auto"/>
            <w:vAlign w:val="center"/>
            <w:hideMark/>
          </w:tcPr>
          <w:p w14:paraId="7AA2508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Contratada</w:t>
            </w:r>
          </w:p>
        </w:tc>
        <w:tc>
          <w:tcPr>
            <w:tcW w:w="0" w:type="auto"/>
            <w:vAlign w:val="center"/>
            <w:hideMark/>
          </w:tcPr>
          <w:p w14:paraId="3FF79CAA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PCMSO, PGR, EPI, CIPA e fiscalização.</w:t>
            </w:r>
          </w:p>
        </w:tc>
        <w:tc>
          <w:tcPr>
            <w:tcW w:w="0" w:type="auto"/>
            <w:vAlign w:val="center"/>
            <w:hideMark/>
          </w:tcPr>
          <w:p w14:paraId="1941EEF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Interrupção da obra, processos judiciais, indenizações.</w:t>
            </w:r>
          </w:p>
        </w:tc>
        <w:tc>
          <w:tcPr>
            <w:tcW w:w="0" w:type="auto"/>
            <w:vAlign w:val="center"/>
            <w:hideMark/>
          </w:tcPr>
          <w:p w14:paraId="11793EF8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Ações emergenciais de saúde, investigação de acidentes e reforço de segurança.</w:t>
            </w:r>
          </w:p>
        </w:tc>
      </w:tr>
      <w:tr w:rsidR="00A67266" w:rsidRPr="00A67266" w14:paraId="0AE40AED" w14:textId="77777777" w:rsidTr="002702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4EB3FBF" w14:textId="5B9A1FB8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7B01F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5FF956D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Alteração da metodologia construtiva</w:t>
            </w:r>
          </w:p>
        </w:tc>
        <w:tc>
          <w:tcPr>
            <w:tcW w:w="0" w:type="auto"/>
            <w:vAlign w:val="center"/>
            <w:hideMark/>
          </w:tcPr>
          <w:p w14:paraId="7B84F80D" w14:textId="65D4992F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372D0049" w14:textId="5D70C0C1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Moderado</w:t>
            </w:r>
          </w:p>
        </w:tc>
        <w:tc>
          <w:tcPr>
            <w:tcW w:w="0" w:type="auto"/>
            <w:shd w:val="clear" w:color="auto" w:fill="FFC000"/>
            <w:vAlign w:val="center"/>
            <w:hideMark/>
          </w:tcPr>
          <w:p w14:paraId="5470CA35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060A3D5B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Mudança na técnica de execução prevista.</w:t>
            </w:r>
          </w:p>
        </w:tc>
        <w:tc>
          <w:tcPr>
            <w:tcW w:w="0" w:type="auto"/>
            <w:vAlign w:val="center"/>
            <w:hideMark/>
          </w:tcPr>
          <w:p w14:paraId="51E0875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Conforme a origem</w:t>
            </w:r>
          </w:p>
        </w:tc>
        <w:tc>
          <w:tcPr>
            <w:tcW w:w="0" w:type="auto"/>
            <w:vAlign w:val="center"/>
            <w:hideMark/>
          </w:tcPr>
          <w:p w14:paraId="2DB46EFE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Termo aditivo com justificativa técnica.</w:t>
            </w:r>
          </w:p>
        </w:tc>
        <w:tc>
          <w:tcPr>
            <w:tcW w:w="0" w:type="auto"/>
            <w:vAlign w:val="center"/>
            <w:hideMark/>
          </w:tcPr>
          <w:p w14:paraId="7E12D911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Atrasos, aumento de custos e retrabalho.</w:t>
            </w:r>
          </w:p>
        </w:tc>
        <w:tc>
          <w:tcPr>
            <w:tcW w:w="0" w:type="auto"/>
            <w:vAlign w:val="center"/>
            <w:hideMark/>
          </w:tcPr>
          <w:p w14:paraId="341E565D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Análise técnica, aprovação de alteração e emissão de termo aditivo.</w:t>
            </w:r>
          </w:p>
        </w:tc>
      </w:tr>
      <w:tr w:rsidR="00A67266" w:rsidRPr="00A67266" w14:paraId="1AF8A981" w14:textId="77777777" w:rsidTr="00487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9650967" w14:textId="24E81D36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7B01F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vAlign w:val="center"/>
            <w:hideMark/>
          </w:tcPr>
          <w:p w14:paraId="6426A1E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Condições climáticas adversas</w:t>
            </w:r>
          </w:p>
        </w:tc>
        <w:tc>
          <w:tcPr>
            <w:tcW w:w="0" w:type="auto"/>
            <w:vAlign w:val="center"/>
            <w:hideMark/>
          </w:tcPr>
          <w:p w14:paraId="391D69C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386F580C" w14:textId="596A6A13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2291A804" w14:textId="12CF13A5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48E76B4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Eventos extremos impedem execução.</w:t>
            </w:r>
          </w:p>
        </w:tc>
        <w:tc>
          <w:tcPr>
            <w:tcW w:w="0" w:type="auto"/>
            <w:vAlign w:val="center"/>
            <w:hideMark/>
          </w:tcPr>
          <w:p w14:paraId="710A999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Compartilhada</w:t>
            </w:r>
          </w:p>
        </w:tc>
        <w:tc>
          <w:tcPr>
            <w:tcW w:w="0" w:type="auto"/>
            <w:vAlign w:val="center"/>
            <w:hideMark/>
          </w:tcPr>
          <w:p w14:paraId="3EB33529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Registro de paralisações e medidas de contingência.</w:t>
            </w:r>
          </w:p>
        </w:tc>
        <w:tc>
          <w:tcPr>
            <w:tcW w:w="0" w:type="auto"/>
            <w:vAlign w:val="center"/>
            <w:hideMark/>
          </w:tcPr>
          <w:p w14:paraId="7C0B30BF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Atrasos, danos estruturais, prejuízo financeiro.</w:t>
            </w:r>
          </w:p>
        </w:tc>
        <w:tc>
          <w:tcPr>
            <w:tcW w:w="0" w:type="auto"/>
            <w:vAlign w:val="center"/>
            <w:hideMark/>
          </w:tcPr>
          <w:p w14:paraId="5459FAD5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Reprogramação do cronograma, ativação de plano de contingência.</w:t>
            </w:r>
          </w:p>
        </w:tc>
      </w:tr>
      <w:tr w:rsidR="00A67266" w:rsidRPr="00A67266" w14:paraId="42619803" w14:textId="77777777" w:rsidTr="002702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08B7176" w14:textId="2E3FA92E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R1</w:t>
            </w:r>
            <w:r w:rsidR="007B01F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108C8D2B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Interferência com redes enterradas</w:t>
            </w:r>
          </w:p>
        </w:tc>
        <w:tc>
          <w:tcPr>
            <w:tcW w:w="0" w:type="auto"/>
            <w:vAlign w:val="center"/>
            <w:hideMark/>
          </w:tcPr>
          <w:p w14:paraId="7B10612A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3E6C9174" w14:textId="2F77345F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Insignificante</w:t>
            </w:r>
          </w:p>
        </w:tc>
        <w:tc>
          <w:tcPr>
            <w:tcW w:w="0" w:type="auto"/>
            <w:shd w:val="clear" w:color="auto" w:fill="FFC000"/>
            <w:vAlign w:val="center"/>
            <w:hideMark/>
          </w:tcPr>
          <w:p w14:paraId="6614D918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48D95246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Redes não mapeadas podem interferir na obra.</w:t>
            </w:r>
          </w:p>
        </w:tc>
        <w:tc>
          <w:tcPr>
            <w:tcW w:w="0" w:type="auto"/>
            <w:vAlign w:val="center"/>
            <w:hideMark/>
          </w:tcPr>
          <w:p w14:paraId="54361820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Administração</w:t>
            </w:r>
          </w:p>
        </w:tc>
        <w:tc>
          <w:tcPr>
            <w:tcW w:w="0" w:type="auto"/>
            <w:vAlign w:val="center"/>
            <w:hideMark/>
          </w:tcPr>
          <w:p w14:paraId="3A48758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Consulta prévia às concessionárias.</w:t>
            </w:r>
          </w:p>
        </w:tc>
        <w:tc>
          <w:tcPr>
            <w:tcW w:w="0" w:type="auto"/>
            <w:vAlign w:val="center"/>
            <w:hideMark/>
          </w:tcPr>
          <w:p w14:paraId="08D1266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Danos às infraestruturas públicas, paralisação, custos não previstos.</w:t>
            </w:r>
          </w:p>
        </w:tc>
        <w:tc>
          <w:tcPr>
            <w:tcW w:w="0" w:type="auto"/>
            <w:vAlign w:val="center"/>
            <w:hideMark/>
          </w:tcPr>
          <w:p w14:paraId="5ABA9136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Correção de projeto, obras de remanejamento, negociação com concessionárias.</w:t>
            </w:r>
          </w:p>
        </w:tc>
      </w:tr>
      <w:tr w:rsidR="00A67266" w:rsidRPr="00A67266" w14:paraId="6B7CA1D2" w14:textId="77777777" w:rsidTr="002702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5118B4C" w14:textId="44F538E5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R1</w:t>
            </w:r>
            <w:r w:rsidR="007B01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D19C52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Atraso no processo administrativo</w:t>
            </w:r>
          </w:p>
        </w:tc>
        <w:tc>
          <w:tcPr>
            <w:tcW w:w="0" w:type="auto"/>
            <w:vAlign w:val="center"/>
            <w:hideMark/>
          </w:tcPr>
          <w:p w14:paraId="60ACCA7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Baixo</w:t>
            </w:r>
          </w:p>
        </w:tc>
        <w:tc>
          <w:tcPr>
            <w:tcW w:w="0" w:type="auto"/>
            <w:vAlign w:val="center"/>
            <w:hideMark/>
          </w:tcPr>
          <w:p w14:paraId="5FDF65A2" w14:textId="68DA7313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Insignificante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184AD91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Baixo</w:t>
            </w:r>
          </w:p>
        </w:tc>
        <w:tc>
          <w:tcPr>
            <w:tcW w:w="0" w:type="auto"/>
            <w:vAlign w:val="center"/>
            <w:hideMark/>
          </w:tcPr>
          <w:p w14:paraId="0A77D82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Demora administrativa impacta prazos.</w:t>
            </w:r>
          </w:p>
        </w:tc>
        <w:tc>
          <w:tcPr>
            <w:tcW w:w="0" w:type="auto"/>
            <w:vAlign w:val="center"/>
            <w:hideMark/>
          </w:tcPr>
          <w:p w14:paraId="32ACD106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Administração</w:t>
            </w:r>
          </w:p>
        </w:tc>
        <w:tc>
          <w:tcPr>
            <w:tcW w:w="0" w:type="auto"/>
            <w:vAlign w:val="center"/>
            <w:hideMark/>
          </w:tcPr>
          <w:p w14:paraId="2ADBA02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Planejamento, controle de prazos e uso de sistemas eletrônicos.</w:t>
            </w:r>
          </w:p>
        </w:tc>
        <w:tc>
          <w:tcPr>
            <w:tcW w:w="0" w:type="auto"/>
            <w:vAlign w:val="center"/>
            <w:hideMark/>
          </w:tcPr>
          <w:p w14:paraId="469B00BB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Retardo no início da obra, descumprimento de cronogramas.</w:t>
            </w:r>
          </w:p>
        </w:tc>
        <w:tc>
          <w:tcPr>
            <w:tcW w:w="0" w:type="auto"/>
            <w:vAlign w:val="center"/>
            <w:hideMark/>
          </w:tcPr>
          <w:p w14:paraId="4377F19B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Revisão de fluxos internos, priorização do processo e reforço na gestão.</w:t>
            </w:r>
          </w:p>
        </w:tc>
      </w:tr>
    </w:tbl>
    <w:p w14:paraId="39CAA211" w14:textId="77777777" w:rsidR="00F90EBA" w:rsidRPr="00A67266" w:rsidRDefault="00F90EBA" w:rsidP="003A3A77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36EF7D8" w14:textId="5252C742" w:rsidR="0081391C" w:rsidRPr="00BF3F39" w:rsidRDefault="0081391C" w:rsidP="003A3A77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F3F39">
        <w:rPr>
          <w:rFonts w:ascii="Times New Roman" w:hAnsi="Times New Roman" w:cs="Times New Roman"/>
          <w:b/>
          <w:bCs/>
          <w:sz w:val="20"/>
          <w:szCs w:val="20"/>
        </w:rPr>
        <w:t xml:space="preserve">Arraial do Cabo, </w:t>
      </w:r>
      <w:r w:rsidR="00B2223C">
        <w:rPr>
          <w:rFonts w:ascii="Times New Roman" w:hAnsi="Times New Roman" w:cs="Times New Roman"/>
          <w:b/>
          <w:bCs/>
          <w:sz w:val="20"/>
          <w:szCs w:val="20"/>
        </w:rPr>
        <w:t>05</w:t>
      </w:r>
      <w:r w:rsidRPr="00BF3F39">
        <w:rPr>
          <w:rFonts w:ascii="Times New Roman" w:hAnsi="Times New Roman" w:cs="Times New Roman"/>
          <w:b/>
          <w:bCs/>
          <w:sz w:val="20"/>
          <w:szCs w:val="20"/>
        </w:rPr>
        <w:t xml:space="preserve"> de </w:t>
      </w:r>
      <w:r w:rsidR="00B2223C">
        <w:rPr>
          <w:rFonts w:ascii="Times New Roman" w:hAnsi="Times New Roman" w:cs="Times New Roman"/>
          <w:b/>
          <w:bCs/>
          <w:sz w:val="20"/>
          <w:szCs w:val="20"/>
        </w:rPr>
        <w:t>março</w:t>
      </w:r>
      <w:r w:rsidRPr="00BF3F39">
        <w:rPr>
          <w:rFonts w:ascii="Times New Roman" w:hAnsi="Times New Roman" w:cs="Times New Roman"/>
          <w:b/>
          <w:bCs/>
          <w:sz w:val="20"/>
          <w:szCs w:val="20"/>
        </w:rPr>
        <w:t xml:space="preserve"> de </w:t>
      </w:r>
      <w:r w:rsidR="008A0203">
        <w:rPr>
          <w:rFonts w:ascii="Times New Roman" w:hAnsi="Times New Roman" w:cs="Times New Roman"/>
          <w:b/>
          <w:bCs/>
          <w:sz w:val="20"/>
          <w:szCs w:val="20"/>
        </w:rPr>
        <w:t>2026</w:t>
      </w:r>
      <w:r w:rsidR="00B2223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8650E77" w14:textId="77777777" w:rsidR="0081391C" w:rsidRPr="00A67266" w:rsidRDefault="0081391C" w:rsidP="0081391C">
      <w:pPr>
        <w:rPr>
          <w:rFonts w:ascii="Times New Roman" w:hAnsi="Times New Roman" w:cs="Times New Roman"/>
          <w:sz w:val="20"/>
          <w:szCs w:val="20"/>
        </w:rPr>
      </w:pPr>
    </w:p>
    <w:p w14:paraId="73B13450" w14:textId="74DC402E" w:rsidR="00A67266" w:rsidRPr="00A67266" w:rsidRDefault="00A67266" w:rsidP="0081391C">
      <w:pPr>
        <w:tabs>
          <w:tab w:val="left" w:pos="12900"/>
        </w:tabs>
        <w:rPr>
          <w:rFonts w:ascii="Times New Roman" w:hAnsi="Times New Roman" w:cs="Times New Roman"/>
          <w:sz w:val="20"/>
          <w:szCs w:val="20"/>
        </w:rPr>
      </w:pPr>
    </w:p>
    <w:p w14:paraId="26B65986" w14:textId="77777777" w:rsidR="00A67266" w:rsidRPr="00A67266" w:rsidRDefault="00A67266" w:rsidP="00A67266">
      <w:pPr>
        <w:ind w:left="-1" w:right="18"/>
        <w:jc w:val="center"/>
        <w:rPr>
          <w:rFonts w:ascii="Arial" w:hAnsi="Arial"/>
          <w:b/>
          <w:sz w:val="20"/>
          <w:szCs w:val="20"/>
        </w:rPr>
      </w:pPr>
      <w:r w:rsidRPr="00A67266">
        <w:rPr>
          <w:rFonts w:ascii="Arial" w:hAnsi="Arial"/>
          <w:b/>
          <w:sz w:val="20"/>
          <w:szCs w:val="20"/>
        </w:rPr>
        <w:t>Júlio</w:t>
      </w:r>
      <w:r w:rsidRPr="00A67266">
        <w:rPr>
          <w:rFonts w:ascii="Arial" w:hAnsi="Arial"/>
          <w:b/>
          <w:spacing w:val="-11"/>
          <w:sz w:val="20"/>
          <w:szCs w:val="20"/>
        </w:rPr>
        <w:t xml:space="preserve"> </w:t>
      </w:r>
      <w:r w:rsidRPr="00A67266">
        <w:rPr>
          <w:rFonts w:ascii="Arial" w:hAnsi="Arial"/>
          <w:b/>
          <w:sz w:val="20"/>
          <w:szCs w:val="20"/>
        </w:rPr>
        <w:t>Cesar</w:t>
      </w:r>
      <w:r w:rsidRPr="00A67266">
        <w:rPr>
          <w:rFonts w:ascii="Arial" w:hAnsi="Arial"/>
          <w:b/>
          <w:spacing w:val="-10"/>
          <w:sz w:val="20"/>
          <w:szCs w:val="20"/>
        </w:rPr>
        <w:t xml:space="preserve"> </w:t>
      </w:r>
      <w:proofErr w:type="spellStart"/>
      <w:r w:rsidRPr="00A67266">
        <w:rPr>
          <w:rFonts w:ascii="Arial" w:hAnsi="Arial"/>
          <w:b/>
          <w:sz w:val="20"/>
          <w:szCs w:val="20"/>
        </w:rPr>
        <w:t>Berlandi</w:t>
      </w:r>
      <w:proofErr w:type="spellEnd"/>
      <w:r w:rsidRPr="00A67266">
        <w:rPr>
          <w:rFonts w:ascii="Arial" w:hAnsi="Arial"/>
          <w:b/>
          <w:spacing w:val="-11"/>
          <w:sz w:val="20"/>
          <w:szCs w:val="20"/>
        </w:rPr>
        <w:t xml:space="preserve"> </w:t>
      </w:r>
      <w:r w:rsidRPr="00A67266">
        <w:rPr>
          <w:rFonts w:ascii="Arial" w:hAnsi="Arial"/>
          <w:b/>
          <w:sz w:val="20"/>
          <w:szCs w:val="20"/>
        </w:rPr>
        <w:t>de</w:t>
      </w:r>
      <w:r w:rsidRPr="00A67266">
        <w:rPr>
          <w:rFonts w:ascii="Arial" w:hAnsi="Arial"/>
          <w:b/>
          <w:spacing w:val="-9"/>
          <w:sz w:val="20"/>
          <w:szCs w:val="20"/>
        </w:rPr>
        <w:t xml:space="preserve"> </w:t>
      </w:r>
      <w:r w:rsidRPr="00A67266">
        <w:rPr>
          <w:rFonts w:ascii="Arial" w:hAnsi="Arial"/>
          <w:b/>
          <w:sz w:val="20"/>
          <w:szCs w:val="20"/>
        </w:rPr>
        <w:t xml:space="preserve">Assumpção </w:t>
      </w:r>
    </w:p>
    <w:p w14:paraId="4177E317" w14:textId="77777777" w:rsidR="00A67266" w:rsidRPr="00A67266" w:rsidRDefault="00A67266" w:rsidP="00A67266">
      <w:pPr>
        <w:ind w:left="-1" w:right="18"/>
        <w:jc w:val="center"/>
        <w:rPr>
          <w:rFonts w:ascii="Arial MT" w:hAnsi="Arial MT"/>
          <w:sz w:val="20"/>
          <w:szCs w:val="20"/>
        </w:rPr>
      </w:pPr>
      <w:r w:rsidRPr="00A67266">
        <w:rPr>
          <w:rFonts w:ascii="Arial MT" w:hAnsi="Arial MT"/>
          <w:sz w:val="20"/>
          <w:szCs w:val="20"/>
        </w:rPr>
        <w:t>Engenheiro</w:t>
      </w:r>
      <w:r w:rsidRPr="00A67266">
        <w:rPr>
          <w:rFonts w:ascii="Arial MT" w:hAnsi="Arial MT"/>
          <w:spacing w:val="-8"/>
          <w:sz w:val="20"/>
          <w:szCs w:val="20"/>
        </w:rPr>
        <w:t xml:space="preserve"> </w:t>
      </w:r>
      <w:r w:rsidRPr="00A67266">
        <w:rPr>
          <w:rFonts w:ascii="Arial MT" w:hAnsi="Arial MT"/>
          <w:sz w:val="20"/>
          <w:szCs w:val="20"/>
        </w:rPr>
        <w:t>Civil</w:t>
      </w:r>
      <w:r w:rsidRPr="00A67266">
        <w:rPr>
          <w:rFonts w:ascii="Arial MT" w:hAnsi="Arial MT"/>
          <w:spacing w:val="-10"/>
          <w:sz w:val="20"/>
          <w:szCs w:val="20"/>
        </w:rPr>
        <w:t xml:space="preserve"> </w:t>
      </w:r>
      <w:r w:rsidRPr="00A67266">
        <w:rPr>
          <w:rFonts w:ascii="Arial MT" w:hAnsi="Arial MT"/>
          <w:sz w:val="20"/>
          <w:szCs w:val="20"/>
        </w:rPr>
        <w:t>–</w:t>
      </w:r>
      <w:r w:rsidRPr="00A67266">
        <w:rPr>
          <w:rFonts w:ascii="Arial MT" w:hAnsi="Arial MT"/>
          <w:spacing w:val="-6"/>
          <w:sz w:val="20"/>
          <w:szCs w:val="20"/>
        </w:rPr>
        <w:t xml:space="preserve"> </w:t>
      </w:r>
      <w:r w:rsidRPr="00A67266">
        <w:rPr>
          <w:rFonts w:ascii="Arial MT" w:hAnsi="Arial MT"/>
          <w:sz w:val="20"/>
          <w:szCs w:val="20"/>
        </w:rPr>
        <w:t>CREA</w:t>
      </w:r>
      <w:r w:rsidRPr="00A67266">
        <w:rPr>
          <w:rFonts w:ascii="Arial MT" w:hAnsi="Arial MT"/>
          <w:spacing w:val="-8"/>
          <w:sz w:val="20"/>
          <w:szCs w:val="20"/>
        </w:rPr>
        <w:t xml:space="preserve"> </w:t>
      </w:r>
      <w:r w:rsidRPr="00A67266">
        <w:rPr>
          <w:rFonts w:ascii="Arial MT" w:hAnsi="Arial MT"/>
          <w:sz w:val="20"/>
          <w:szCs w:val="20"/>
        </w:rPr>
        <w:t xml:space="preserve">1981103886 </w:t>
      </w:r>
    </w:p>
    <w:p w14:paraId="7DE9FA8D" w14:textId="3C9529F8" w:rsidR="00A67266" w:rsidRPr="00A67266" w:rsidRDefault="00A67266" w:rsidP="00A67266">
      <w:pPr>
        <w:ind w:left="-1" w:right="18"/>
        <w:jc w:val="center"/>
        <w:rPr>
          <w:rFonts w:ascii="Arial" w:hAnsi="Arial"/>
          <w:b/>
          <w:sz w:val="20"/>
          <w:szCs w:val="20"/>
        </w:rPr>
      </w:pPr>
      <w:r w:rsidRPr="00A67266">
        <w:rPr>
          <w:rFonts w:ascii="Arial" w:hAnsi="Arial"/>
          <w:b/>
          <w:sz w:val="20"/>
          <w:szCs w:val="20"/>
        </w:rPr>
        <w:t>Matrícula 48188</w:t>
      </w:r>
    </w:p>
    <w:p w14:paraId="1E4FFEAD" w14:textId="77777777" w:rsidR="00A67266" w:rsidRPr="002702E4" w:rsidRDefault="00A67266" w:rsidP="0081391C">
      <w:pPr>
        <w:tabs>
          <w:tab w:val="left" w:pos="12900"/>
        </w:tabs>
        <w:rPr>
          <w:rFonts w:ascii="Times New Roman" w:hAnsi="Times New Roman" w:cs="Times New Roman"/>
          <w:sz w:val="24"/>
        </w:rPr>
      </w:pPr>
    </w:p>
    <w:sectPr w:rsidR="00A67266" w:rsidRPr="002702E4" w:rsidSect="00E61875">
      <w:headerReference w:type="default" r:id="rId9"/>
      <w:footerReference w:type="default" r:id="rId10"/>
      <w:pgSz w:w="16838" w:h="11906" w:orient="landscape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C920A" w14:textId="77777777" w:rsidR="00DE48AF" w:rsidRDefault="00DE48AF" w:rsidP="00741660">
      <w:pPr>
        <w:spacing w:after="0" w:line="240" w:lineRule="auto"/>
      </w:pPr>
      <w:r>
        <w:separator/>
      </w:r>
    </w:p>
  </w:endnote>
  <w:endnote w:type="continuationSeparator" w:id="0">
    <w:p w14:paraId="1FCB8B56" w14:textId="77777777" w:rsidR="00DE48AF" w:rsidRDefault="00DE48AF" w:rsidP="00741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altName w:val="Times New Roman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ExtraBold">
    <w:altName w:val="Times New Roman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3489526"/>
      <w:docPartObj>
        <w:docPartGallery w:val="Page Numbers (Bottom of Page)"/>
        <w:docPartUnique/>
      </w:docPartObj>
    </w:sdtPr>
    <w:sdtEndPr/>
    <w:sdtContent>
      <w:p w14:paraId="3C87E70D" w14:textId="00C1EC8F" w:rsidR="003A3A77" w:rsidRDefault="003A3A7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11C">
          <w:rPr>
            <w:noProof/>
          </w:rPr>
          <w:t>8</w:t>
        </w:r>
        <w:r>
          <w:fldChar w:fldCharType="end"/>
        </w:r>
      </w:p>
    </w:sdtContent>
  </w:sdt>
  <w:p w14:paraId="38ECB046" w14:textId="77777777" w:rsidR="00FE2CBB" w:rsidRDefault="00FE2CB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02D35" w14:textId="77777777" w:rsidR="00DE48AF" w:rsidRDefault="00DE48AF" w:rsidP="00741660">
      <w:pPr>
        <w:spacing w:after="0" w:line="240" w:lineRule="auto"/>
      </w:pPr>
      <w:r>
        <w:separator/>
      </w:r>
    </w:p>
  </w:footnote>
  <w:footnote w:type="continuationSeparator" w:id="0">
    <w:p w14:paraId="165FFBC0" w14:textId="77777777" w:rsidR="00DE48AF" w:rsidRDefault="00DE48AF" w:rsidP="00741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43" w:type="dxa"/>
      <w:tblInd w:w="3684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4758"/>
      <w:gridCol w:w="4985"/>
    </w:tblGrid>
    <w:tr w:rsidR="00567D7E" w14:paraId="43696335" w14:textId="77777777" w:rsidTr="00DA43FC">
      <w:trPr>
        <w:trHeight w:val="1207"/>
      </w:trPr>
      <w:tc>
        <w:tcPr>
          <w:tcW w:w="4758" w:type="dxa"/>
          <w:tcBorders>
            <w:top w:val="nil"/>
            <w:left w:val="nil"/>
            <w:bottom w:val="nil"/>
            <w:right w:val="nil"/>
          </w:tcBorders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14:paraId="40F72BB9" w14:textId="426A5560" w:rsidR="00567D7E" w:rsidRDefault="00DA43FC" w:rsidP="007F6AEC">
          <w:pPr>
            <w:widowControl w:val="0"/>
            <w:spacing w:line="240" w:lineRule="auto"/>
            <w:jc w:val="center"/>
          </w:pPr>
          <w:bookmarkStart w:id="0" w:name="_Hlk200612119"/>
          <w:r>
            <w:rPr>
              <w:noProof/>
              <w:lang w:eastAsia="pt-BR"/>
            </w:rPr>
            <w:drawing>
              <wp:anchor distT="0" distB="0" distL="114300" distR="114300" simplePos="0" relativeHeight="251657728" behindDoc="0" locked="0" layoutInCell="1" allowOverlap="1" wp14:anchorId="3D0FD1FA" wp14:editId="525F0530">
                <wp:simplePos x="0" y="0"/>
                <wp:positionH relativeFrom="column">
                  <wp:posOffset>-696595</wp:posOffset>
                </wp:positionH>
                <wp:positionV relativeFrom="paragraph">
                  <wp:posOffset>57150</wp:posOffset>
                </wp:positionV>
                <wp:extent cx="2585720" cy="506095"/>
                <wp:effectExtent l="0" t="0" r="5080" b="8255"/>
                <wp:wrapNone/>
                <wp:docPr id="508404527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914" b="791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85720" cy="5060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9872F1">
            <w:rPr>
              <w:noProof/>
            </w:rPr>
            <w:pict w14:anchorId="2FA7F5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" o:spid="_x0000_s1025" type="#_x0000_t75" alt="" style="position:absolute;left:0;text-align:left;margin-left:151.4pt;margin-top:22.75pt;width:511.4pt;height:639.7pt;rotation:345;z-index:-251657728;mso-position-horizontal-relative:margin;mso-position-vertical-relative:margin">
                <v:imagedata r:id="rId2" o:title="image1"/>
                <w10:wrap anchorx="margin" anchory="margin"/>
              </v:shape>
            </w:pict>
          </w:r>
        </w:p>
      </w:tc>
      <w:tc>
        <w:tcPr>
          <w:tcW w:w="4985" w:type="dxa"/>
          <w:tcBorders>
            <w:top w:val="nil"/>
            <w:left w:val="nil"/>
            <w:bottom w:val="nil"/>
            <w:right w:val="nil"/>
          </w:tcBorders>
          <w:tcMar>
            <w:top w:w="100" w:type="dxa"/>
            <w:left w:w="100" w:type="dxa"/>
            <w:bottom w:w="100" w:type="dxa"/>
            <w:right w:w="100" w:type="dxa"/>
          </w:tcMar>
        </w:tcPr>
        <w:p w14:paraId="65552156" w14:textId="77777777" w:rsidR="00567D7E" w:rsidRDefault="00567D7E" w:rsidP="007F6AEC">
          <w:pPr>
            <w:tabs>
              <w:tab w:val="left" w:pos="3165"/>
            </w:tabs>
            <w:spacing w:line="240" w:lineRule="auto"/>
            <w:jc w:val="right"/>
            <w:rPr>
              <w:rFonts w:ascii="Montserrat" w:eastAsia="Montserrat" w:hAnsi="Montserrat" w:cs="Montserrat"/>
              <w:b/>
              <w:color w:val="073763"/>
              <w:sz w:val="18"/>
              <w:szCs w:val="18"/>
            </w:rPr>
          </w:pPr>
          <w:r>
            <w:rPr>
              <w:rFonts w:ascii="Montserrat" w:eastAsia="Montserrat" w:hAnsi="Montserrat" w:cs="Montserrat"/>
              <w:b/>
              <w:color w:val="073763"/>
              <w:sz w:val="18"/>
              <w:szCs w:val="18"/>
            </w:rPr>
            <w:t>ESTADO DO RIO DE JANEIRO</w:t>
          </w:r>
          <w:r>
            <w:rPr>
              <w:noProof/>
              <w:lang w:eastAsia="pt-BR"/>
            </w:rPr>
            <w:drawing>
              <wp:anchor distT="0" distB="0" distL="0" distR="0" simplePos="0" relativeHeight="251656704" behindDoc="1" locked="0" layoutInCell="1" hidden="0" allowOverlap="1" wp14:anchorId="03B75A8B" wp14:editId="2C19310F">
                <wp:simplePos x="0" y="0"/>
                <wp:positionH relativeFrom="column">
                  <wp:posOffset>4899660</wp:posOffset>
                </wp:positionH>
                <wp:positionV relativeFrom="paragraph">
                  <wp:posOffset>-632</wp:posOffset>
                </wp:positionV>
                <wp:extent cx="1076325" cy="466090"/>
                <wp:effectExtent l="0" t="0" r="0" b="0"/>
                <wp:wrapNone/>
                <wp:docPr id="62400417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3"/>
                        <a:srcRect l="5286" t="8882" r="69934" b="2697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6325" cy="46609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  <w:p w14:paraId="0DECC4E0" w14:textId="77777777" w:rsidR="00567D7E" w:rsidRDefault="00567D7E" w:rsidP="007F6AEC">
          <w:pPr>
            <w:tabs>
              <w:tab w:val="left" w:pos="3165"/>
            </w:tabs>
            <w:spacing w:line="240" w:lineRule="auto"/>
            <w:jc w:val="right"/>
            <w:rPr>
              <w:rFonts w:ascii="Montserrat" w:eastAsia="Montserrat" w:hAnsi="Montserrat" w:cs="Montserrat"/>
              <w:b/>
              <w:color w:val="073763"/>
              <w:sz w:val="18"/>
              <w:szCs w:val="18"/>
            </w:rPr>
          </w:pPr>
          <w:r>
            <w:rPr>
              <w:rFonts w:ascii="Montserrat" w:eastAsia="Montserrat" w:hAnsi="Montserrat" w:cs="Montserrat"/>
              <w:b/>
              <w:color w:val="073763"/>
              <w:sz w:val="18"/>
              <w:szCs w:val="18"/>
            </w:rPr>
            <w:t>PREFEITURA DE ARRAIAL DO CABO</w:t>
          </w:r>
        </w:p>
        <w:p w14:paraId="4F4976AD" w14:textId="77777777" w:rsidR="00567D7E" w:rsidRDefault="00567D7E" w:rsidP="007F6AEC">
          <w:pPr>
            <w:tabs>
              <w:tab w:val="left" w:pos="3165"/>
            </w:tabs>
            <w:spacing w:line="240" w:lineRule="auto"/>
            <w:jc w:val="right"/>
            <w:rPr>
              <w:rFonts w:ascii="Montserrat ExtraBold" w:eastAsia="Montserrat ExtraBold" w:hAnsi="Montserrat ExtraBold" w:cs="Montserrat ExtraBold"/>
              <w:color w:val="073763"/>
              <w:sz w:val="18"/>
              <w:szCs w:val="18"/>
            </w:rPr>
          </w:pPr>
          <w:r>
            <w:rPr>
              <w:rFonts w:ascii="Montserrat ExtraBold" w:eastAsia="Montserrat ExtraBold" w:hAnsi="Montserrat ExtraBold" w:cs="Montserrat ExtraBold"/>
              <w:color w:val="073763"/>
              <w:sz w:val="18"/>
              <w:szCs w:val="18"/>
            </w:rPr>
            <w:t>SECRETARIA DE OBRAS E URBANISMO</w:t>
          </w:r>
        </w:p>
        <w:p w14:paraId="505AB89E" w14:textId="77777777" w:rsidR="00567D7E" w:rsidRDefault="00567D7E" w:rsidP="007F6AEC">
          <w:pPr>
            <w:tabs>
              <w:tab w:val="left" w:pos="3165"/>
            </w:tabs>
            <w:spacing w:line="240" w:lineRule="auto"/>
            <w:jc w:val="right"/>
            <w:rPr>
              <w:rFonts w:ascii="Montserrat" w:eastAsia="Montserrat" w:hAnsi="Montserrat" w:cs="Montserrat"/>
              <w:color w:val="073763"/>
              <w:sz w:val="24"/>
              <w:szCs w:val="24"/>
            </w:rPr>
          </w:pPr>
        </w:p>
      </w:tc>
    </w:tr>
    <w:bookmarkEnd w:id="0"/>
  </w:tbl>
  <w:p w14:paraId="161620ED" w14:textId="7D83B60C" w:rsidR="00FE2CBB" w:rsidRDefault="00FE2CBB" w:rsidP="00567D7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17FAB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529C4"/>
    <w:multiLevelType w:val="hybridMultilevel"/>
    <w:tmpl w:val="209A09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11998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E3FB9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25FF4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107CE"/>
    <w:multiLevelType w:val="hybridMultilevel"/>
    <w:tmpl w:val="EC10AF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B5D1F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F0EE2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0F5844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95526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357CC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75988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146C1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E02D8A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6F5EDB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F708F3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81459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A52664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50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9946901">
    <w:abstractNumId w:val="3"/>
  </w:num>
  <w:num w:numId="3" w16cid:durableId="490171584">
    <w:abstractNumId w:val="0"/>
  </w:num>
  <w:num w:numId="4" w16cid:durableId="675812172">
    <w:abstractNumId w:val="2"/>
  </w:num>
  <w:num w:numId="5" w16cid:durableId="459735293">
    <w:abstractNumId w:val="9"/>
  </w:num>
  <w:num w:numId="6" w16cid:durableId="2075202066">
    <w:abstractNumId w:val="17"/>
  </w:num>
  <w:num w:numId="7" w16cid:durableId="855459307">
    <w:abstractNumId w:val="11"/>
  </w:num>
  <w:num w:numId="8" w16cid:durableId="1315450526">
    <w:abstractNumId w:val="8"/>
  </w:num>
  <w:num w:numId="9" w16cid:durableId="932475325">
    <w:abstractNumId w:val="15"/>
  </w:num>
  <w:num w:numId="10" w16cid:durableId="1732539826">
    <w:abstractNumId w:val="14"/>
  </w:num>
  <w:num w:numId="11" w16cid:durableId="902451223">
    <w:abstractNumId w:val="4"/>
  </w:num>
  <w:num w:numId="12" w16cid:durableId="717513107">
    <w:abstractNumId w:val="6"/>
  </w:num>
  <w:num w:numId="13" w16cid:durableId="1193226943">
    <w:abstractNumId w:val="16"/>
  </w:num>
  <w:num w:numId="14" w16cid:durableId="1563443562">
    <w:abstractNumId w:val="10"/>
  </w:num>
  <w:num w:numId="15" w16cid:durableId="97062395">
    <w:abstractNumId w:val="7"/>
  </w:num>
  <w:num w:numId="16" w16cid:durableId="1530222070">
    <w:abstractNumId w:val="12"/>
  </w:num>
  <w:num w:numId="17" w16cid:durableId="1425570178">
    <w:abstractNumId w:val="13"/>
  </w:num>
  <w:num w:numId="18" w16cid:durableId="1333751831">
    <w:abstractNumId w:val="1"/>
  </w:num>
  <w:num w:numId="19" w16cid:durableId="804897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660"/>
    <w:rsid w:val="000010EF"/>
    <w:rsid w:val="0002657A"/>
    <w:rsid w:val="00034386"/>
    <w:rsid w:val="000424F2"/>
    <w:rsid w:val="0008478D"/>
    <w:rsid w:val="00091EBA"/>
    <w:rsid w:val="000A5CE8"/>
    <w:rsid w:val="000B4756"/>
    <w:rsid w:val="000C0DF0"/>
    <w:rsid w:val="000C1572"/>
    <w:rsid w:val="000C3691"/>
    <w:rsid w:val="000D5C00"/>
    <w:rsid w:val="00102720"/>
    <w:rsid w:val="001211DA"/>
    <w:rsid w:val="00140A1C"/>
    <w:rsid w:val="0015342C"/>
    <w:rsid w:val="001551FE"/>
    <w:rsid w:val="00160429"/>
    <w:rsid w:val="00180B7C"/>
    <w:rsid w:val="00186EED"/>
    <w:rsid w:val="001A1721"/>
    <w:rsid w:val="001C5B1A"/>
    <w:rsid w:val="001C5DDD"/>
    <w:rsid w:val="001E5276"/>
    <w:rsid w:val="00203E80"/>
    <w:rsid w:val="00215FEB"/>
    <w:rsid w:val="00232632"/>
    <w:rsid w:val="002702E4"/>
    <w:rsid w:val="00286799"/>
    <w:rsid w:val="002D29BD"/>
    <w:rsid w:val="002E089A"/>
    <w:rsid w:val="002E511C"/>
    <w:rsid w:val="002F6681"/>
    <w:rsid w:val="0031304F"/>
    <w:rsid w:val="0032167B"/>
    <w:rsid w:val="00322623"/>
    <w:rsid w:val="00322B4B"/>
    <w:rsid w:val="00361F21"/>
    <w:rsid w:val="00363B7B"/>
    <w:rsid w:val="00383FE5"/>
    <w:rsid w:val="0039089A"/>
    <w:rsid w:val="003A3A77"/>
    <w:rsid w:val="003A56FF"/>
    <w:rsid w:val="003B197D"/>
    <w:rsid w:val="003C2D76"/>
    <w:rsid w:val="003E20A5"/>
    <w:rsid w:val="003F3F05"/>
    <w:rsid w:val="00406A96"/>
    <w:rsid w:val="00420D10"/>
    <w:rsid w:val="004327D9"/>
    <w:rsid w:val="00453D2D"/>
    <w:rsid w:val="00455527"/>
    <w:rsid w:val="004743E9"/>
    <w:rsid w:val="00475F9D"/>
    <w:rsid w:val="00487A09"/>
    <w:rsid w:val="004C119F"/>
    <w:rsid w:val="004D3A20"/>
    <w:rsid w:val="004D4DE9"/>
    <w:rsid w:val="00512DC2"/>
    <w:rsid w:val="0051355E"/>
    <w:rsid w:val="00530FB3"/>
    <w:rsid w:val="00546D45"/>
    <w:rsid w:val="00567D7E"/>
    <w:rsid w:val="005770DF"/>
    <w:rsid w:val="00585187"/>
    <w:rsid w:val="005937A9"/>
    <w:rsid w:val="005B7BA8"/>
    <w:rsid w:val="005C57AF"/>
    <w:rsid w:val="005E4ABE"/>
    <w:rsid w:val="005F5EFF"/>
    <w:rsid w:val="006047C0"/>
    <w:rsid w:val="006055D0"/>
    <w:rsid w:val="006419BD"/>
    <w:rsid w:val="00643B88"/>
    <w:rsid w:val="00646CCC"/>
    <w:rsid w:val="00690A3A"/>
    <w:rsid w:val="00691667"/>
    <w:rsid w:val="006E0582"/>
    <w:rsid w:val="00737E7F"/>
    <w:rsid w:val="00741660"/>
    <w:rsid w:val="00752AAF"/>
    <w:rsid w:val="0077677C"/>
    <w:rsid w:val="0078026E"/>
    <w:rsid w:val="007864AB"/>
    <w:rsid w:val="007B01F8"/>
    <w:rsid w:val="007D3163"/>
    <w:rsid w:val="007F20DC"/>
    <w:rsid w:val="007F281C"/>
    <w:rsid w:val="007F6AEC"/>
    <w:rsid w:val="00807115"/>
    <w:rsid w:val="0081391C"/>
    <w:rsid w:val="00813FD2"/>
    <w:rsid w:val="008A0203"/>
    <w:rsid w:val="008C608B"/>
    <w:rsid w:val="008F40F7"/>
    <w:rsid w:val="009177B0"/>
    <w:rsid w:val="009216D1"/>
    <w:rsid w:val="00931531"/>
    <w:rsid w:val="0095152A"/>
    <w:rsid w:val="0097383D"/>
    <w:rsid w:val="009872F1"/>
    <w:rsid w:val="009B6D0C"/>
    <w:rsid w:val="009C2CA0"/>
    <w:rsid w:val="009F7AAC"/>
    <w:rsid w:val="00A5411E"/>
    <w:rsid w:val="00A564DE"/>
    <w:rsid w:val="00A67266"/>
    <w:rsid w:val="00A7156C"/>
    <w:rsid w:val="00A8306E"/>
    <w:rsid w:val="00A9242A"/>
    <w:rsid w:val="00AA4D8D"/>
    <w:rsid w:val="00AE3395"/>
    <w:rsid w:val="00AE7EC8"/>
    <w:rsid w:val="00B008BB"/>
    <w:rsid w:val="00B2223C"/>
    <w:rsid w:val="00B41313"/>
    <w:rsid w:val="00B42562"/>
    <w:rsid w:val="00B5421F"/>
    <w:rsid w:val="00B75041"/>
    <w:rsid w:val="00B84C1D"/>
    <w:rsid w:val="00BA0D19"/>
    <w:rsid w:val="00BF3F39"/>
    <w:rsid w:val="00BF59D8"/>
    <w:rsid w:val="00C024AB"/>
    <w:rsid w:val="00C07C02"/>
    <w:rsid w:val="00C35B8B"/>
    <w:rsid w:val="00C93D72"/>
    <w:rsid w:val="00CB0C08"/>
    <w:rsid w:val="00CC3A80"/>
    <w:rsid w:val="00D41F11"/>
    <w:rsid w:val="00D4573F"/>
    <w:rsid w:val="00D75A83"/>
    <w:rsid w:val="00DA43FC"/>
    <w:rsid w:val="00DE48AF"/>
    <w:rsid w:val="00E234B8"/>
    <w:rsid w:val="00E61875"/>
    <w:rsid w:val="00E811C1"/>
    <w:rsid w:val="00EC1272"/>
    <w:rsid w:val="00ED4654"/>
    <w:rsid w:val="00ED6876"/>
    <w:rsid w:val="00F01617"/>
    <w:rsid w:val="00F044F2"/>
    <w:rsid w:val="00F0585D"/>
    <w:rsid w:val="00F14297"/>
    <w:rsid w:val="00F14CF1"/>
    <w:rsid w:val="00F472CC"/>
    <w:rsid w:val="00F663CE"/>
    <w:rsid w:val="00F90EBA"/>
    <w:rsid w:val="00FA53EA"/>
    <w:rsid w:val="00FE0423"/>
    <w:rsid w:val="00FE2CBB"/>
    <w:rsid w:val="00FE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8FAEF"/>
  <w15:docId w15:val="{3920E7BB-C8E7-4986-871A-E92E4EF0F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16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1660"/>
  </w:style>
  <w:style w:type="paragraph" w:styleId="Rodap">
    <w:name w:val="footer"/>
    <w:basedOn w:val="Normal"/>
    <w:link w:val="RodapChar"/>
    <w:uiPriority w:val="99"/>
    <w:unhideWhenUsed/>
    <w:rsid w:val="007416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1660"/>
  </w:style>
  <w:style w:type="paragraph" w:styleId="Textodebalo">
    <w:name w:val="Balloon Text"/>
    <w:basedOn w:val="Normal"/>
    <w:link w:val="TextodebaloChar"/>
    <w:uiPriority w:val="99"/>
    <w:semiHidden/>
    <w:unhideWhenUsed/>
    <w:rsid w:val="0012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11DA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234B8"/>
    <w:rPr>
      <w:color w:val="0563C1"/>
      <w:u w:val="single"/>
    </w:rPr>
  </w:style>
  <w:style w:type="paragraph" w:styleId="PargrafodaLista">
    <w:name w:val="List Paragraph"/>
    <w:aliases w:val="ECO Item - nivel 1,COba Alinea 2,Apêndice"/>
    <w:basedOn w:val="Normal"/>
    <w:link w:val="PargrafodaListaChar"/>
    <w:uiPriority w:val="34"/>
    <w:qFormat/>
    <w:rsid w:val="00813F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argrafodaListaChar">
    <w:name w:val="Parágrafo da Lista Char"/>
    <w:aliases w:val="ECO Item - nivel 1 Char,COba Alinea 2 Char,Apêndice Char"/>
    <w:link w:val="PargrafodaLista"/>
    <w:uiPriority w:val="34"/>
    <w:locked/>
    <w:rsid w:val="00813F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9B6D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0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">
    <w:name w:val="Light List"/>
    <w:basedOn w:val="Tabelanormal"/>
    <w:uiPriority w:val="61"/>
    <w:rsid w:val="00361F2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Textbody">
    <w:name w:val="Text body"/>
    <w:basedOn w:val="Normal"/>
    <w:rsid w:val="00475F9D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Corpodetexto">
    <w:name w:val="Body Text"/>
    <w:basedOn w:val="Normal"/>
    <w:link w:val="CorpodetextoChar"/>
    <w:uiPriority w:val="1"/>
    <w:qFormat/>
    <w:rsid w:val="00567D7E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567D7E"/>
    <w:rPr>
      <w:rFonts w:ascii="Arial MT" w:eastAsia="Arial MT" w:hAnsi="Arial MT" w:cs="Arial MT"/>
      <w:sz w:val="24"/>
      <w:szCs w:val="24"/>
      <w:lang w:val="pt-PT"/>
    </w:rPr>
  </w:style>
  <w:style w:type="table" w:styleId="SimplesTabela1">
    <w:name w:val="Plain Table 1"/>
    <w:basedOn w:val="Tabelanormal"/>
    <w:uiPriority w:val="41"/>
    <w:rsid w:val="0010272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13B83-EF6F-4819-8187-F9F1DAA21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6286</TotalTime>
  <Pages>5</Pages>
  <Words>855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ADM-06</dc:creator>
  <cp:lastModifiedBy>SECOU - 05</cp:lastModifiedBy>
  <cp:revision>62</cp:revision>
  <cp:lastPrinted>2025-12-19T19:40:00Z</cp:lastPrinted>
  <dcterms:created xsi:type="dcterms:W3CDTF">2025-04-01T23:38:00Z</dcterms:created>
  <dcterms:modified xsi:type="dcterms:W3CDTF">2026-03-04T21:06:00Z</dcterms:modified>
</cp:coreProperties>
</file>